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18F69" w14:textId="120CDEDC" w:rsidR="00DD42BB" w:rsidRPr="00DD42BB" w:rsidRDefault="00DD42BB" w:rsidP="00DD42BB">
      <w:pPr>
        <w:shd w:val="clear" w:color="auto" w:fill="FFFFFF"/>
        <w:spacing w:before="24" w:after="24" w:line="600" w:lineRule="atLeast"/>
        <w:ind w:left="24" w:right="24"/>
        <w:outlineLvl w:val="2"/>
        <w:rPr>
          <w:rFonts w:ascii="Helvetica" w:eastAsia="Times New Roman" w:hAnsi="Helvetica" w:cs="Times New Roman"/>
          <w:b/>
          <w:bCs/>
          <w:color w:val="555555"/>
          <w:sz w:val="24"/>
          <w:szCs w:val="24"/>
          <w:lang w:eastAsia="it-IT"/>
        </w:rPr>
      </w:pPr>
      <w:r w:rsidRPr="00DD42BB">
        <w:rPr>
          <w:rFonts w:ascii="Helvetica" w:eastAsia="Times New Roman" w:hAnsi="Helvetica" w:cs="Times New Roman"/>
          <w:b/>
          <w:bCs/>
          <w:color w:val="555555"/>
          <w:sz w:val="24"/>
          <w:szCs w:val="24"/>
          <w:lang w:eastAsia="it-IT"/>
        </w:rPr>
        <w:t>PROCEDURA PEDAGGI 202</w:t>
      </w:r>
      <w:r w:rsidR="003F1347">
        <w:rPr>
          <w:rFonts w:ascii="Helvetica" w:eastAsia="Times New Roman" w:hAnsi="Helvetica" w:cs="Times New Roman"/>
          <w:b/>
          <w:bCs/>
          <w:color w:val="555555"/>
          <w:sz w:val="24"/>
          <w:szCs w:val="24"/>
          <w:lang w:eastAsia="it-IT"/>
        </w:rPr>
        <w:t>3</w:t>
      </w:r>
      <w:r w:rsidRPr="00DD42BB">
        <w:rPr>
          <w:rFonts w:ascii="Helvetica" w:eastAsia="Times New Roman" w:hAnsi="Helvetica" w:cs="Times New Roman"/>
          <w:b/>
          <w:bCs/>
          <w:color w:val="555555"/>
          <w:sz w:val="24"/>
          <w:szCs w:val="24"/>
          <w:lang w:eastAsia="it-IT"/>
        </w:rPr>
        <w:t xml:space="preserve"> – CONTROLLO VALIDITA’ LICENZE COMUNITARIE</w:t>
      </w:r>
    </w:p>
    <w:p w14:paraId="0F978371" w14:textId="77777777" w:rsidR="003C6270" w:rsidRDefault="003C6270"/>
    <w:p w14:paraId="429A46CA" w14:textId="77777777" w:rsidR="00DD42BB" w:rsidRDefault="00DD42BB" w:rsidP="003F1347">
      <w:pPr>
        <w:rPr>
          <w:rFonts w:ascii="Helvetica" w:hAnsi="Helvetica"/>
          <w:color w:val="555555"/>
          <w:sz w:val="21"/>
          <w:szCs w:val="21"/>
          <w:shd w:val="clear" w:color="auto" w:fill="FFFFFF"/>
        </w:rPr>
      </w:pPr>
      <w:r>
        <w:rPr>
          <w:rStyle w:val="Enfasigrassetto"/>
          <w:rFonts w:ascii="Helvetica" w:hAnsi="Helvetica"/>
          <w:color w:val="555555"/>
          <w:sz w:val="21"/>
          <w:szCs w:val="21"/>
          <w:shd w:val="clear" w:color="auto" w:fill="FFFFFF"/>
        </w:rPr>
        <w:t>a)     LICENZE CON VALIDITA’ DECENNALE</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 xml:space="preserve">Ai sensi dell’articolo 4, secondo paragrafo, del Regolamento (CEE) 1072 del 2009 “La licenza comunitaria è rilasciata dalle autorità competenti dello Stato membro di stabilimento per una durata massima rinnovabile di dieci anni”. Conseguentemente l’applicativo PEDAGGI effettua il controllo sul limite massimo di validità di una licenza comunitaria pari a </w:t>
      </w:r>
      <w:proofErr w:type="gramStart"/>
      <w:r>
        <w:rPr>
          <w:rFonts w:ascii="Helvetica" w:hAnsi="Helvetica"/>
          <w:color w:val="555555"/>
          <w:sz w:val="21"/>
          <w:szCs w:val="21"/>
          <w:shd w:val="clear" w:color="auto" w:fill="FFFFFF"/>
        </w:rPr>
        <w:t>10</w:t>
      </w:r>
      <w:proofErr w:type="gramEnd"/>
      <w:r>
        <w:rPr>
          <w:rFonts w:ascii="Helvetica" w:hAnsi="Helvetica"/>
          <w:color w:val="555555"/>
          <w:sz w:val="21"/>
          <w:szCs w:val="21"/>
          <w:shd w:val="clear" w:color="auto" w:fill="FFFFFF"/>
        </w:rPr>
        <w:t xml:space="preserve"> anni. Con l’occasione, si rappresenta che i 10 anni sono computati a parità di giorno e mese (così, ad esempio, data inizio validità 30 gennaio 2008 – data scadenza 30 gennaio 2018). In caso diverso, la durata della licenza sarà considerata superiore a 10 anni (così, ad esempio così, data inizio validità 30 gennaio 2008 – data scadenza 31 gennaio 2018). </w:t>
      </w:r>
    </w:p>
    <w:p w14:paraId="339A8AD3" w14:textId="77777777" w:rsidR="00DD42BB" w:rsidRDefault="00DD42BB" w:rsidP="00DD42BB"/>
    <w:p w14:paraId="4ACC9984" w14:textId="77777777" w:rsidR="00DD42BB" w:rsidRDefault="00DD42BB" w:rsidP="00DD42BB">
      <w:pPr>
        <w:rPr>
          <w:rStyle w:val="Enfasigrassetto"/>
          <w:rFonts w:ascii="Helvetica" w:hAnsi="Helvetica"/>
          <w:color w:val="555555"/>
          <w:sz w:val="21"/>
          <w:szCs w:val="21"/>
          <w:shd w:val="clear" w:color="auto" w:fill="FFFFFF"/>
        </w:rPr>
      </w:pPr>
      <w:r>
        <w:rPr>
          <w:rStyle w:val="Enfasigrassetto"/>
          <w:rFonts w:ascii="Helvetica" w:hAnsi="Helvetica"/>
          <w:color w:val="555555"/>
          <w:sz w:val="21"/>
          <w:szCs w:val="21"/>
          <w:shd w:val="clear" w:color="auto" w:fill="FFFFFF"/>
        </w:rPr>
        <w:t>b)    LICENZE CON VALIDITA’ ULTRA – DECENNALE</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Fermo restando quanto sopra, deve ancora considerarsi che il terzo paragrafo dell’articolo 4 del citato Regolamento (CEE) 1072 del 2009 prevede poi che “Le licenze comunitarie e le copie certificate conformi rilasciate prima della data di applicazione del presente regolamento rimangono valide fino alla loro data di scadenza."</w:t>
      </w:r>
      <w:r>
        <w:rPr>
          <w:rFonts w:ascii="Helvetica" w:hAnsi="Helvetica"/>
          <w:color w:val="555555"/>
          <w:sz w:val="21"/>
          <w:szCs w:val="21"/>
        </w:rPr>
        <w:br/>
      </w:r>
      <w:r>
        <w:rPr>
          <w:rFonts w:ascii="Helvetica" w:hAnsi="Helvetica"/>
          <w:color w:val="555555"/>
          <w:sz w:val="21"/>
          <w:szCs w:val="21"/>
          <w:shd w:val="clear" w:color="auto" w:fill="FFFFFF"/>
        </w:rPr>
        <w:t>È quindi possibile che un soggetto intenda formulare istanza per accedere alla procedura in parola sulla base di tali licenze con validità ultra-decennale. Al fine di poter utilmente inserire tali licenze nella procedura di rimborso compensato dei pedaggi in oggetto, si rende necessario inviare una mail all’indirizzo </w:t>
      </w:r>
      <w:hyperlink r:id="rId4" w:history="1">
        <w:r>
          <w:rPr>
            <w:rStyle w:val="Collegamentoipertestuale"/>
            <w:rFonts w:ascii="Helvetica" w:hAnsi="Helvetica"/>
            <w:color w:val="009AE5"/>
            <w:sz w:val="21"/>
            <w:szCs w:val="21"/>
            <w:shd w:val="clear" w:color="auto" w:fill="FFFFFF"/>
          </w:rPr>
          <w:t>vittorio.giorgi@mit.gov.it</w:t>
        </w:r>
      </w:hyperlink>
      <w:r>
        <w:rPr>
          <w:rFonts w:ascii="Helvetica" w:hAnsi="Helvetica"/>
          <w:color w:val="555555"/>
          <w:sz w:val="21"/>
          <w:szCs w:val="21"/>
          <w:shd w:val="clear" w:color="auto" w:fill="FFFFFF"/>
        </w:rPr>
        <w:t> (</w:t>
      </w:r>
      <w:hyperlink r:id="rId5" w:history="1">
        <w:r w:rsidRPr="00667629">
          <w:rPr>
            <w:rStyle w:val="Collegamentoipertestuale"/>
            <w:rFonts w:ascii="Helvetica" w:hAnsi="Helvetica"/>
            <w:sz w:val="21"/>
            <w:szCs w:val="21"/>
            <w:shd w:val="clear" w:color="auto" w:fill="FFFFFF"/>
          </w:rPr>
          <w:t>ass-autotrasp.ccaa@mit.gov.it</w:t>
        </w:r>
      </w:hyperlink>
      <w:r>
        <w:rPr>
          <w:rFonts w:ascii="Helvetica" w:hAnsi="Helvetica"/>
          <w:color w:val="555555"/>
          <w:sz w:val="21"/>
          <w:szCs w:val="21"/>
          <w:shd w:val="clear" w:color="auto" w:fill="FFFFFF"/>
        </w:rPr>
        <w:t>), recante quale testo una </w:t>
      </w:r>
      <w:r>
        <w:rPr>
          <w:rStyle w:val="Enfasigrassetto"/>
          <w:rFonts w:ascii="Helvetica" w:hAnsi="Helvetica"/>
          <w:color w:val="555555"/>
          <w:sz w:val="21"/>
          <w:szCs w:val="21"/>
          <w:shd w:val="clear" w:color="auto" w:fill="FFFFFF"/>
        </w:rPr>
        <w:t>dichiarazione, resa ai sensi degli articoli 19 e 47 del DPR 445 del 2000, di conformità all’originale delle copie delle predette licenze, che devono essere allegate in formato pdf. Alla dichiarazione va altresì allegato file pdf del documento di identità del dichiarante.</w:t>
      </w:r>
    </w:p>
    <w:p w14:paraId="262A4721" w14:textId="77777777" w:rsidR="00DD42BB" w:rsidRDefault="00DD42BB" w:rsidP="00DD42BB">
      <w:pPr>
        <w:rPr>
          <w:rStyle w:val="Enfasigrassetto"/>
          <w:rFonts w:ascii="Helvetica" w:hAnsi="Helvetica"/>
          <w:color w:val="555555"/>
          <w:sz w:val="21"/>
          <w:szCs w:val="21"/>
          <w:shd w:val="clear" w:color="auto" w:fill="FFFFFF"/>
        </w:rPr>
      </w:pPr>
    </w:p>
    <w:p w14:paraId="3EF77F3A" w14:textId="77777777" w:rsidR="00DD42BB" w:rsidRDefault="00DD42BB" w:rsidP="00DD42BB">
      <w:pPr>
        <w:rPr>
          <w:rFonts w:ascii="Helvetica" w:hAnsi="Helvetica"/>
          <w:color w:val="555555"/>
          <w:sz w:val="21"/>
          <w:szCs w:val="21"/>
          <w:shd w:val="clear" w:color="auto" w:fill="FFFFFF"/>
        </w:rPr>
      </w:pPr>
      <w:r>
        <w:rPr>
          <w:rFonts w:ascii="Helvetica" w:hAnsi="Helvetica"/>
          <w:color w:val="555555"/>
          <w:sz w:val="21"/>
          <w:szCs w:val="21"/>
          <w:shd w:val="clear" w:color="auto" w:fill="FFFFFF"/>
        </w:rPr>
        <w:t>Nel testo della dichiarazione devono essere enumerate tutte le licenze in parola, indicando per ciascuna: </w:t>
      </w:r>
      <w:r>
        <w:rPr>
          <w:rStyle w:val="Enfasigrassetto"/>
          <w:rFonts w:ascii="Helvetica" w:hAnsi="Helvetica"/>
          <w:color w:val="555555"/>
          <w:sz w:val="21"/>
          <w:szCs w:val="21"/>
          <w:shd w:val="clear" w:color="auto" w:fill="FFFFFF"/>
        </w:rPr>
        <w:t>numero - data inizio validità - data scadenza -Stato (che ha provveduto al rilascio) - Titolare</w:t>
      </w:r>
      <w:r>
        <w:rPr>
          <w:rFonts w:ascii="Helvetica" w:hAnsi="Helvetica"/>
          <w:color w:val="555555"/>
          <w:sz w:val="21"/>
          <w:szCs w:val="21"/>
        </w:rPr>
        <w:br/>
      </w:r>
      <w:r>
        <w:rPr>
          <w:rFonts w:ascii="Helvetica" w:hAnsi="Helvetica"/>
          <w:color w:val="555555"/>
          <w:sz w:val="21"/>
          <w:szCs w:val="21"/>
          <w:shd w:val="clear" w:color="auto" w:fill="FFFFFF"/>
        </w:rPr>
        <w:t>Su richiesta indirizzata al predetto indirizzo, l’Ufficio del Comitato Centrale potrà fornire fac-simile della dichiarazione da rendersi.</w:t>
      </w:r>
      <w:r>
        <w:rPr>
          <w:rFonts w:ascii="Helvetica" w:hAnsi="Helvetica"/>
          <w:color w:val="555555"/>
          <w:sz w:val="21"/>
          <w:szCs w:val="21"/>
        </w:rPr>
        <w:br/>
      </w:r>
      <w:r>
        <w:rPr>
          <w:rFonts w:ascii="Helvetica" w:hAnsi="Helvetica"/>
          <w:color w:val="555555"/>
          <w:sz w:val="21"/>
          <w:szCs w:val="21"/>
          <w:shd w:val="clear" w:color="auto" w:fill="FFFFFF"/>
        </w:rPr>
        <w:t>L’Ufficio del Comitato Centrale, verificati i documenti allegati, darà a mezzo mail le istruzioni utili per la valorizzazione delle predette licenze nella procedura di rimborso compensato dei pedaggi.</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È raccomandato di </w:t>
      </w:r>
      <w:r>
        <w:rPr>
          <w:rStyle w:val="Enfasigrassetto"/>
          <w:rFonts w:ascii="Helvetica" w:hAnsi="Helvetica"/>
          <w:color w:val="555555"/>
          <w:sz w:val="21"/>
          <w:szCs w:val="21"/>
          <w:shd w:val="clear" w:color="auto" w:fill="FFFFFF"/>
        </w:rPr>
        <w:t>NON </w:t>
      </w:r>
      <w:r>
        <w:rPr>
          <w:rFonts w:ascii="Helvetica" w:hAnsi="Helvetica"/>
          <w:color w:val="555555"/>
          <w:sz w:val="21"/>
          <w:szCs w:val="21"/>
          <w:shd w:val="clear" w:color="auto" w:fill="FFFFFF"/>
        </w:rPr>
        <w:t>inviare la predetta dichiarazione a mezzo PEC e di indicare, se possibile, un recapito telefonico.</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Qualora il numero delle licenze sia tanto elevato da non permetterne la ricezione da parte del server di posta elettronica di questa Amministrazione in allegato, si potrà procedere, alternativamente:</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a)con più invii, ciascuno recante dichiarazione specificatamente riferita alle licenze allegate: </w:t>
      </w:r>
      <w:r>
        <w:rPr>
          <w:rStyle w:val="Enfasigrassetto"/>
          <w:rFonts w:ascii="Helvetica" w:hAnsi="Helvetica"/>
          <w:color w:val="555555"/>
          <w:sz w:val="21"/>
          <w:szCs w:val="21"/>
          <w:shd w:val="clear" w:color="auto" w:fill="FFFFFF"/>
        </w:rPr>
        <w:t>restano confermate le modalità su indicate;</w:t>
      </w:r>
      <w:r>
        <w:rPr>
          <w:rFonts w:ascii="Helvetica" w:hAnsi="Helvetica"/>
          <w:color w:val="555555"/>
          <w:sz w:val="21"/>
          <w:szCs w:val="21"/>
        </w:rPr>
        <w:br/>
      </w:r>
      <w:r>
        <w:rPr>
          <w:rFonts w:ascii="Helvetica" w:hAnsi="Helvetica"/>
          <w:color w:val="555555"/>
          <w:sz w:val="21"/>
          <w:szCs w:val="21"/>
          <w:shd w:val="clear" w:color="auto" w:fill="FFFFFF"/>
        </w:rPr>
        <w:t>b) con l’invio, al su indicato indirizzo mail, di una </w:t>
      </w:r>
      <w:r>
        <w:rPr>
          <w:rStyle w:val="Enfasigrassetto"/>
          <w:rFonts w:ascii="Helvetica" w:hAnsi="Helvetica"/>
          <w:color w:val="555555"/>
          <w:sz w:val="21"/>
          <w:szCs w:val="21"/>
          <w:shd w:val="clear" w:color="auto" w:fill="FFFFFF"/>
        </w:rPr>
        <w:t>dichiarazione sostitutiva di atto di notorietà, resa ai sensi dell’art. 47 del D.P.R. n. 445 del 2000</w:t>
      </w:r>
      <w:r>
        <w:rPr>
          <w:rFonts w:ascii="Helvetica" w:hAnsi="Helvetica"/>
          <w:color w:val="555555"/>
          <w:sz w:val="21"/>
          <w:szCs w:val="21"/>
          <w:shd w:val="clear" w:color="auto" w:fill="FFFFFF"/>
        </w:rPr>
        <w:t xml:space="preserve">, con la quale si dichiara di essere in possesso delle </w:t>
      </w:r>
      <w:r>
        <w:rPr>
          <w:rFonts w:ascii="Helvetica" w:hAnsi="Helvetica"/>
          <w:color w:val="555555"/>
          <w:sz w:val="21"/>
          <w:szCs w:val="21"/>
          <w:shd w:val="clear" w:color="auto" w:fill="FFFFFF"/>
        </w:rPr>
        <w:lastRenderedPageBreak/>
        <w:t>licenze comunitarie che devono essere quindi indicate secondo le modalità su esposte. Anche in questo caso </w:t>
      </w:r>
      <w:r>
        <w:rPr>
          <w:rStyle w:val="Enfasigrassetto"/>
          <w:rFonts w:ascii="Helvetica" w:hAnsi="Helvetica"/>
          <w:color w:val="555555"/>
          <w:sz w:val="21"/>
          <w:szCs w:val="21"/>
          <w:shd w:val="clear" w:color="auto" w:fill="FFFFFF"/>
        </w:rPr>
        <w:t xml:space="preserve">va allegato file pdf del documento di identità del dichiarante. In tal caso le </w:t>
      </w:r>
      <w:proofErr w:type="gramStart"/>
      <w:r>
        <w:rPr>
          <w:rStyle w:val="Enfasigrassetto"/>
          <w:rFonts w:ascii="Helvetica" w:hAnsi="Helvetica"/>
          <w:color w:val="555555"/>
          <w:sz w:val="21"/>
          <w:szCs w:val="21"/>
          <w:shd w:val="clear" w:color="auto" w:fill="FFFFFF"/>
        </w:rPr>
        <w:t>predette</w:t>
      </w:r>
      <w:proofErr w:type="gramEnd"/>
      <w:r>
        <w:rPr>
          <w:rStyle w:val="Enfasigrassetto"/>
          <w:rFonts w:ascii="Helvetica" w:hAnsi="Helvetica"/>
          <w:color w:val="555555"/>
          <w:sz w:val="21"/>
          <w:szCs w:val="21"/>
          <w:shd w:val="clear" w:color="auto" w:fill="FFFFFF"/>
        </w:rPr>
        <w:t xml:space="preserve"> licenze dovranno pervenire al Comitato Centrale, con spedizione contestuale delle licenze in formato Pdf all’indirizzo</w:t>
      </w:r>
      <w:hyperlink r:id="rId6" w:history="1">
        <w:r>
          <w:rPr>
            <w:rStyle w:val="Collegamentoipertestuale"/>
            <w:rFonts w:ascii="Helvetica" w:hAnsi="Helvetica"/>
            <w:color w:val="009AE5"/>
            <w:sz w:val="21"/>
            <w:szCs w:val="21"/>
            <w:shd w:val="clear" w:color="auto" w:fill="FFFFFF"/>
          </w:rPr>
          <w:t> vittorio.giorgi@mit.gov.it</w:t>
        </w:r>
      </w:hyperlink>
      <w:r>
        <w:rPr>
          <w:rFonts w:ascii="Helvetica" w:hAnsi="Helvetica"/>
          <w:color w:val="555555"/>
          <w:sz w:val="21"/>
          <w:szCs w:val="21"/>
          <w:shd w:val="clear" w:color="auto" w:fill="FFFFFF"/>
        </w:rPr>
        <w:t> attraverso l’applicativo </w:t>
      </w:r>
      <w:proofErr w:type="spellStart"/>
      <w:r>
        <w:rPr>
          <w:rStyle w:val="Enfasigrassetto"/>
          <w:rFonts w:ascii="Helvetica" w:hAnsi="Helvetica"/>
          <w:color w:val="555555"/>
          <w:sz w:val="21"/>
          <w:szCs w:val="21"/>
          <w:shd w:val="clear" w:color="auto" w:fill="FFFFFF"/>
        </w:rPr>
        <w:t>wetransfer</w:t>
      </w:r>
      <w:proofErr w:type="spellEnd"/>
      <w:r>
        <w:rPr>
          <w:rStyle w:val="Enfasigrassetto"/>
          <w:rFonts w:ascii="Helvetica" w:hAnsi="Helvetica"/>
          <w:color w:val="555555"/>
          <w:sz w:val="21"/>
          <w:szCs w:val="21"/>
          <w:shd w:val="clear" w:color="auto" w:fill="FFFFFF"/>
        </w:rPr>
        <w:t> </w:t>
      </w:r>
      <w:r>
        <w:rPr>
          <w:rFonts w:ascii="Helvetica" w:hAnsi="Helvetica"/>
          <w:color w:val="555555"/>
          <w:sz w:val="21"/>
          <w:szCs w:val="21"/>
          <w:shd w:val="clear" w:color="auto" w:fill="FFFFFF"/>
        </w:rPr>
        <w:t>direttamente dall’indirizzo </w:t>
      </w:r>
      <w:hyperlink r:id="rId7" w:tgtFrame="_blank" w:history="1">
        <w:r>
          <w:rPr>
            <w:rStyle w:val="Collegamentoipertestuale"/>
            <w:rFonts w:ascii="Helvetica" w:hAnsi="Helvetica"/>
            <w:color w:val="009AE5"/>
            <w:sz w:val="21"/>
            <w:szCs w:val="21"/>
            <w:shd w:val="clear" w:color="auto" w:fill="FFFFFF"/>
          </w:rPr>
          <w:t>https://wetransfer.com/</w:t>
        </w:r>
      </w:hyperlink>
      <w:r>
        <w:rPr>
          <w:rFonts w:ascii="Helvetica" w:hAnsi="Helvetica"/>
          <w:color w:val="555555"/>
          <w:sz w:val="21"/>
          <w:szCs w:val="21"/>
          <w:shd w:val="clear" w:color="auto" w:fill="FFFFFF"/>
        </w:rPr>
        <w:t>.</w:t>
      </w:r>
    </w:p>
    <w:p w14:paraId="37D89D6D" w14:textId="77777777" w:rsidR="00DD42BB" w:rsidRDefault="00DD42BB" w:rsidP="00DD42BB">
      <w:pPr>
        <w:rPr>
          <w:rFonts w:ascii="Helvetica" w:hAnsi="Helvetica"/>
          <w:color w:val="555555"/>
          <w:sz w:val="21"/>
          <w:szCs w:val="21"/>
          <w:shd w:val="clear" w:color="auto" w:fill="FFFFFF"/>
        </w:rPr>
      </w:pPr>
    </w:p>
    <w:p w14:paraId="0C1C31C6" w14:textId="1257FE74" w:rsidR="00DD42BB" w:rsidRDefault="00DD42BB" w:rsidP="00DD42BB">
      <w:r>
        <w:rPr>
          <w:rStyle w:val="Enfasigrassetto"/>
          <w:rFonts w:ascii="Helvetica" w:hAnsi="Helvetica"/>
          <w:color w:val="555555"/>
          <w:sz w:val="21"/>
          <w:szCs w:val="21"/>
          <w:shd w:val="clear" w:color="auto" w:fill="FFFFFF"/>
        </w:rPr>
        <w:t> c)    LICENZE RINNOVATE IN CORSO DI ANNO</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Qualora una licenza comunitaria sia scaduta in corso di anno 202</w:t>
      </w:r>
      <w:r w:rsidR="003F1347">
        <w:rPr>
          <w:rFonts w:ascii="Helvetica" w:hAnsi="Helvetica"/>
          <w:color w:val="555555"/>
          <w:sz w:val="21"/>
          <w:szCs w:val="21"/>
          <w:shd w:val="clear" w:color="auto" w:fill="FFFFFF"/>
        </w:rPr>
        <w:t>3</w:t>
      </w:r>
      <w:r>
        <w:rPr>
          <w:rFonts w:ascii="Helvetica" w:hAnsi="Helvetica"/>
          <w:color w:val="555555"/>
          <w:sz w:val="21"/>
          <w:szCs w:val="21"/>
          <w:shd w:val="clear" w:color="auto" w:fill="FFFFFF"/>
        </w:rPr>
        <w:t xml:space="preserve"> e quindi, nello stesso anno rinnovata, occorre procedere come segue.</w:t>
      </w:r>
      <w:r>
        <w:rPr>
          <w:rFonts w:ascii="Helvetica" w:hAnsi="Helvetica"/>
          <w:color w:val="555555"/>
          <w:sz w:val="21"/>
          <w:szCs w:val="21"/>
        </w:rPr>
        <w:br/>
      </w:r>
      <w:r>
        <w:rPr>
          <w:rFonts w:ascii="Helvetica" w:hAnsi="Helvetica"/>
          <w:color w:val="555555"/>
          <w:sz w:val="21"/>
          <w:szCs w:val="21"/>
          <w:shd w:val="clear" w:color="auto" w:fill="FFFFFF"/>
        </w:rPr>
        <w:t>Nel primo foglio del file Excel dell’anagrafica del raggruppamento dovranno essere riportate, su due righe diverse:</w:t>
      </w:r>
      <w:r>
        <w:rPr>
          <w:rFonts w:ascii="Helvetica" w:hAnsi="Helvetica"/>
          <w:color w:val="555555"/>
          <w:sz w:val="21"/>
          <w:szCs w:val="21"/>
        </w:rPr>
        <w:br/>
      </w:r>
      <w:r>
        <w:rPr>
          <w:rFonts w:ascii="Helvetica" w:hAnsi="Helvetica"/>
          <w:color w:val="555555"/>
          <w:sz w:val="21"/>
          <w:szCs w:val="21"/>
        </w:rPr>
        <w:br/>
      </w:r>
      <w:r>
        <w:rPr>
          <w:rFonts w:ascii="Helvetica" w:hAnsi="Helvetica"/>
          <w:color w:val="555555"/>
          <w:sz w:val="21"/>
          <w:szCs w:val="21"/>
          <w:shd w:val="clear" w:color="auto" w:fill="FFFFFF"/>
        </w:rPr>
        <w:t xml:space="preserve">a) sia la licenza che scade in corso di anno </w:t>
      </w:r>
      <w:r w:rsidR="003F1347">
        <w:rPr>
          <w:rFonts w:ascii="Helvetica" w:hAnsi="Helvetica"/>
          <w:color w:val="555555"/>
          <w:sz w:val="21"/>
          <w:szCs w:val="21"/>
          <w:shd w:val="clear" w:color="auto" w:fill="FFFFFF"/>
        </w:rPr>
        <w:t>sia</w:t>
      </w:r>
      <w:r>
        <w:rPr>
          <w:rFonts w:ascii="Helvetica" w:hAnsi="Helvetica"/>
          <w:color w:val="555555"/>
          <w:sz w:val="21"/>
          <w:szCs w:val="21"/>
          <w:shd w:val="clear" w:color="auto" w:fill="FFFFFF"/>
        </w:rPr>
        <w:t xml:space="preserve"> quella rinnovata, se il numero di quest’ultima è diverso da quella scaduta;</w:t>
      </w:r>
      <w:r>
        <w:rPr>
          <w:rFonts w:ascii="Helvetica" w:hAnsi="Helvetica"/>
          <w:color w:val="555555"/>
          <w:sz w:val="21"/>
          <w:szCs w:val="21"/>
        </w:rPr>
        <w:br/>
      </w:r>
      <w:r>
        <w:rPr>
          <w:rFonts w:ascii="Helvetica" w:hAnsi="Helvetica"/>
          <w:color w:val="555555"/>
          <w:sz w:val="21"/>
          <w:szCs w:val="21"/>
          <w:shd w:val="clear" w:color="auto" w:fill="FFFFFF"/>
        </w:rPr>
        <w:t>b) il numero della licenza che scade in corso di anno e quello della licenza rinnovata seguita da “</w:t>
      </w:r>
      <w:r>
        <w:rPr>
          <w:rStyle w:val="Enfasigrassetto"/>
          <w:rFonts w:ascii="Helvetica" w:hAnsi="Helvetica"/>
          <w:color w:val="555555"/>
          <w:sz w:val="21"/>
          <w:szCs w:val="21"/>
          <w:shd w:val="clear" w:color="auto" w:fill="FFFFFF"/>
        </w:rPr>
        <w:t>-2</w:t>
      </w:r>
      <w:r>
        <w:rPr>
          <w:rFonts w:ascii="Helvetica" w:hAnsi="Helvetica"/>
          <w:color w:val="555555"/>
          <w:sz w:val="21"/>
          <w:szCs w:val="21"/>
          <w:shd w:val="clear" w:color="auto" w:fill="FFFFFF"/>
        </w:rPr>
        <w:t>” (</w:t>
      </w:r>
      <w:r>
        <w:rPr>
          <w:rStyle w:val="Enfasigrassetto"/>
          <w:rFonts w:ascii="Helvetica" w:hAnsi="Helvetica"/>
          <w:color w:val="555555"/>
          <w:sz w:val="21"/>
          <w:szCs w:val="21"/>
          <w:shd w:val="clear" w:color="auto" w:fill="FFFFFF"/>
        </w:rPr>
        <w:t>trattino 2</w:t>
      </w:r>
      <w:r>
        <w:rPr>
          <w:rFonts w:ascii="Helvetica" w:hAnsi="Helvetica"/>
          <w:color w:val="555555"/>
          <w:sz w:val="21"/>
          <w:szCs w:val="21"/>
          <w:shd w:val="clear" w:color="auto" w:fill="FFFFFF"/>
        </w:rPr>
        <w:t>) se quest’ultima ha conservato lo stesso numero della prima (ad esempio licenza FR123456788ABC (data inizio validità 30.6.201</w:t>
      </w:r>
      <w:r w:rsidR="003F1347">
        <w:rPr>
          <w:rFonts w:ascii="Helvetica" w:hAnsi="Helvetica"/>
          <w:color w:val="555555"/>
          <w:sz w:val="21"/>
          <w:szCs w:val="21"/>
          <w:shd w:val="clear" w:color="auto" w:fill="FFFFFF"/>
        </w:rPr>
        <w:t>2</w:t>
      </w:r>
      <w:r>
        <w:rPr>
          <w:rFonts w:ascii="Helvetica" w:hAnsi="Helvetica"/>
          <w:color w:val="555555"/>
          <w:sz w:val="21"/>
          <w:szCs w:val="21"/>
          <w:shd w:val="clear" w:color="auto" w:fill="FFFFFF"/>
        </w:rPr>
        <w:t xml:space="preserve"> data   scadenza 30.6.202</w:t>
      </w:r>
      <w:r w:rsidR="003F1347">
        <w:rPr>
          <w:rFonts w:ascii="Helvetica" w:hAnsi="Helvetica"/>
          <w:color w:val="555555"/>
          <w:sz w:val="21"/>
          <w:szCs w:val="21"/>
          <w:shd w:val="clear" w:color="auto" w:fill="FFFFFF"/>
        </w:rPr>
        <w:t>3</w:t>
      </w:r>
      <w:r>
        <w:rPr>
          <w:rFonts w:ascii="Helvetica" w:hAnsi="Helvetica"/>
          <w:color w:val="555555"/>
          <w:sz w:val="21"/>
          <w:szCs w:val="21"/>
          <w:shd w:val="clear" w:color="auto" w:fill="FFFFFF"/>
        </w:rPr>
        <w:t>) e FR123456788ABC-2 (data inizio validità 1 luglio 202</w:t>
      </w:r>
      <w:r w:rsidR="003F1347">
        <w:rPr>
          <w:rFonts w:ascii="Helvetica" w:hAnsi="Helvetica"/>
          <w:color w:val="555555"/>
          <w:sz w:val="21"/>
          <w:szCs w:val="21"/>
          <w:shd w:val="clear" w:color="auto" w:fill="FFFFFF"/>
        </w:rPr>
        <w:t>3</w:t>
      </w:r>
      <w:r>
        <w:rPr>
          <w:rFonts w:ascii="Helvetica" w:hAnsi="Helvetica"/>
          <w:color w:val="555555"/>
          <w:sz w:val="21"/>
          <w:szCs w:val="21"/>
          <w:shd w:val="clear" w:color="auto" w:fill="FFFFFF"/>
        </w:rPr>
        <w:t xml:space="preserve"> data scadenza 1 luglio 203</w:t>
      </w:r>
      <w:r w:rsidR="003F1347">
        <w:rPr>
          <w:rFonts w:ascii="Helvetica" w:hAnsi="Helvetica"/>
          <w:color w:val="555555"/>
          <w:sz w:val="21"/>
          <w:szCs w:val="21"/>
          <w:shd w:val="clear" w:color="auto" w:fill="FFFFFF"/>
        </w:rPr>
        <w:t>3</w:t>
      </w:r>
      <w:r>
        <w:rPr>
          <w:rFonts w:ascii="Helvetica" w:hAnsi="Helvetica"/>
          <w:color w:val="555555"/>
          <w:sz w:val="21"/>
          <w:szCs w:val="21"/>
          <w:shd w:val="clear" w:color="auto" w:fill="FFFFFF"/>
        </w:rPr>
        <w:t>). Il sistema infatti riconoscerà nei caratteri “-2” l’indicazione del rinnovo.</w:t>
      </w:r>
    </w:p>
    <w:sectPr w:rsidR="00DD42B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2BB"/>
    <w:rsid w:val="003C6270"/>
    <w:rsid w:val="003F1347"/>
    <w:rsid w:val="009721D5"/>
    <w:rsid w:val="00DD42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9F3BE"/>
  <w15:docId w15:val="{6542D466-DC09-4D9E-AD68-CCA9C6E9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DD42B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D42BB"/>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DD42BB"/>
    <w:rPr>
      <w:b/>
      <w:bCs/>
    </w:rPr>
  </w:style>
  <w:style w:type="paragraph" w:styleId="Paragrafoelenco">
    <w:name w:val="List Paragraph"/>
    <w:basedOn w:val="Normale"/>
    <w:uiPriority w:val="34"/>
    <w:qFormat/>
    <w:rsid w:val="00DD42BB"/>
    <w:pPr>
      <w:ind w:left="720"/>
      <w:contextualSpacing/>
    </w:pPr>
  </w:style>
  <w:style w:type="character" w:styleId="Collegamentoipertestuale">
    <w:name w:val="Hyperlink"/>
    <w:basedOn w:val="Carpredefinitoparagrafo"/>
    <w:uiPriority w:val="99"/>
    <w:unhideWhenUsed/>
    <w:rsid w:val="00DD42BB"/>
    <w:rPr>
      <w:color w:val="0000FF"/>
      <w:u w:val="single"/>
    </w:rPr>
  </w:style>
  <w:style w:type="character" w:styleId="Collegamentovisitato">
    <w:name w:val="FollowedHyperlink"/>
    <w:basedOn w:val="Carpredefinitoparagrafo"/>
    <w:uiPriority w:val="99"/>
    <w:semiHidden/>
    <w:unhideWhenUsed/>
    <w:rsid w:val="00DD42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78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etransf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vittorio.giorgi@mit.gov.it" TargetMode="External"/><Relationship Id="rId5" Type="http://schemas.openxmlformats.org/officeDocument/2006/relationships/hyperlink" Target="mailto:ass-autotrasp.ccaa@mit.gov.it" TargetMode="External"/><Relationship Id="rId4" Type="http://schemas.openxmlformats.org/officeDocument/2006/relationships/hyperlink" Target="mailto:vittorio.giorgi@mit.gov.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682</Words>
  <Characters>3894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Vittorio Giorgi</dc:creator>
  <cp:lastModifiedBy>Vittorio Giorgi</cp:lastModifiedBy>
  <cp:revision>2</cp:revision>
  <dcterms:created xsi:type="dcterms:W3CDTF">2024-05-21T07:10:00Z</dcterms:created>
  <dcterms:modified xsi:type="dcterms:W3CDTF">2024-05-21T07:10:00Z</dcterms:modified>
</cp:coreProperties>
</file>